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3770B5" w:rsidP="00A20EF3">
      <w:pPr>
        <w:pStyle w:val="Title"/>
        <w:rPr>
          <w:szCs w:val="28"/>
        </w:rPr>
      </w:pPr>
      <w:bookmarkStart w:id="0" w:name="_GoBack"/>
      <w:bookmarkEnd w:id="0"/>
      <w:r>
        <w:rPr>
          <w:szCs w:val="28"/>
        </w:rPr>
        <w:t>1</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Heading1"/>
        <w:keepNext w:val="0"/>
        <w:widowControl w:val="0"/>
        <w:tabs>
          <w:tab w:val="center" w:pos="4536"/>
        </w:tabs>
        <w:jc w:val="center"/>
        <w:rPr>
          <w:sz w:val="24"/>
          <w:szCs w:val="24"/>
        </w:rPr>
      </w:pPr>
      <w:r w:rsidRPr="00EC38D5">
        <w:rPr>
          <w:sz w:val="24"/>
          <w:szCs w:val="24"/>
        </w:rPr>
        <w:t>SPRENDIMAS</w:t>
      </w:r>
    </w:p>
    <w:p w:rsidR="00D87CF3" w:rsidRPr="00D87CF3" w:rsidRDefault="00D87CF3" w:rsidP="00D87CF3">
      <w:pPr>
        <w:jc w:val="center"/>
        <w:rPr>
          <w:rFonts w:ascii="Times New Roman" w:hAnsi="Times New Roman"/>
          <w:b/>
          <w:sz w:val="24"/>
          <w:szCs w:val="24"/>
          <w:lang w:eastAsia="en-US"/>
        </w:rPr>
      </w:pPr>
      <w:r w:rsidRPr="00D87CF3">
        <w:rPr>
          <w:rFonts w:ascii="Times New Roman" w:hAnsi="Times New Roman"/>
          <w:b/>
          <w:sz w:val="24"/>
          <w:szCs w:val="24"/>
          <w:lang w:eastAsia="en-US"/>
        </w:rPr>
        <w:t>DĖL MOKESČIO UŽ IKIMOKYKLINIO IR PRIEŠMOKYKLINIO AMŽIAUS VAIKŲ IŠLAIKYMĄ KAUNO RAJONO ŠVIETIMO ĮSTAIGOSE MOKĖJIMO TVARKOS APRAŠO PATVIRTINIMO</w:t>
      </w:r>
    </w:p>
    <w:p w:rsidR="00D87CF3" w:rsidRPr="00D87CF3" w:rsidRDefault="00D87CF3" w:rsidP="00D87CF3">
      <w:pPr>
        <w:spacing w:line="360" w:lineRule="auto"/>
        <w:jc w:val="center"/>
        <w:rPr>
          <w:rFonts w:ascii="Times New Roman" w:hAnsi="Times New Roman"/>
          <w:sz w:val="24"/>
          <w:szCs w:val="24"/>
        </w:rPr>
      </w:pP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2018 m. sausio 31 d.  Nr. TS-</w:t>
      </w:r>
      <w:r w:rsidR="00416600">
        <w:rPr>
          <w:rFonts w:ascii="Times New Roman" w:hAnsi="Times New Roman"/>
          <w:sz w:val="24"/>
          <w:szCs w:val="24"/>
        </w:rPr>
        <w:t>6</w:t>
      </w: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Kaunas</w:t>
      </w: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851"/>
        </w:tabs>
        <w:spacing w:line="360" w:lineRule="auto"/>
        <w:ind w:firstLine="851"/>
        <w:jc w:val="both"/>
        <w:rPr>
          <w:rFonts w:ascii="Times New Roman" w:hAnsi="Times New Roman"/>
          <w:spacing w:val="60"/>
          <w:sz w:val="24"/>
          <w:szCs w:val="24"/>
          <w:lang w:eastAsia="en-US"/>
        </w:rPr>
      </w:pPr>
      <w:r w:rsidRPr="00D87CF3">
        <w:rPr>
          <w:rFonts w:ascii="Times New Roman" w:hAnsi="Times New Roman"/>
          <w:sz w:val="24"/>
          <w:szCs w:val="24"/>
          <w:lang w:eastAsia="en-US"/>
        </w:rPr>
        <w:t xml:space="preserve">Vadovaudamasi Lietuvos Respublikos vietos savivaldos įstatymo </w:t>
      </w:r>
      <w:r w:rsidRPr="00D87CF3">
        <w:rPr>
          <w:rFonts w:ascii="Times New Roman" w:hAnsi="Times New Roman"/>
          <w:sz w:val="24"/>
          <w:szCs w:val="24"/>
        </w:rPr>
        <w:t xml:space="preserve">18 straipsnio 1 dalimi, </w:t>
      </w:r>
      <w:r w:rsidRPr="00D87CF3">
        <w:rPr>
          <w:rFonts w:ascii="Times New Roman" w:hAnsi="Times New Roman"/>
          <w:sz w:val="24"/>
          <w:szCs w:val="24"/>
          <w:lang w:eastAsia="en-US"/>
        </w:rPr>
        <w:t>6 straipsnio 10 punktu, 7 straipsnio 7 punktu, 16 straipsnio 4 dalimi, Lietuvos Respublikos švietimo įstatymo 36 straipsnio 7 ir 9 dalimis</w:t>
      </w:r>
      <w:r w:rsidRPr="00D87CF3">
        <w:rPr>
          <w:rFonts w:ascii="Times New Roman" w:hAnsi="Times New Roman"/>
          <w:color w:val="002060"/>
          <w:sz w:val="24"/>
          <w:szCs w:val="24"/>
          <w:lang w:eastAsia="en-US"/>
        </w:rPr>
        <w:t>,</w:t>
      </w:r>
      <w:r w:rsidRPr="00D87CF3">
        <w:rPr>
          <w:rFonts w:ascii="Times New Roman" w:hAnsi="Times New Roman"/>
          <w:color w:val="FF0000"/>
          <w:sz w:val="24"/>
          <w:szCs w:val="24"/>
          <w:lang w:eastAsia="en-US"/>
        </w:rPr>
        <w:t xml:space="preserve"> </w:t>
      </w:r>
      <w:r w:rsidRPr="00D87CF3">
        <w:rPr>
          <w:rFonts w:ascii="Times New Roman" w:hAnsi="Times New Roman"/>
          <w:sz w:val="24"/>
          <w:szCs w:val="24"/>
          <w:lang w:eastAsia="en-US"/>
        </w:rPr>
        <w:t xml:space="preserve">Kauno rajono savivaldybės taryba  </w:t>
      </w:r>
      <w:r w:rsidRPr="00D87CF3">
        <w:rPr>
          <w:rFonts w:ascii="Times New Roman" w:hAnsi="Times New Roman"/>
          <w:spacing w:val="60"/>
          <w:sz w:val="24"/>
          <w:szCs w:val="24"/>
          <w:lang w:eastAsia="en-US"/>
        </w:rPr>
        <w:t>nusprendžia: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Patvirtinti Mokesčio už ikimokyklinio ir priešmokyklinio amžiaus vaikų išlaikymą Kauno rajono švietimo įstaigose mokėjimo tvarkos aprašą (pridedama).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Pripažinti netekusiu galios Kauno rajono savivaldybės tarybos 2013 m. birželio 27 d. sprendimą Nr. TS-259 „Dėl mokesčio už ikimokyklinio ir priešmokyklinio amžiaus vaikų išlaikymą Kauno rajono švietimo įstaigose mokėjimo tvarkos aprašo patvirtinimo“ su visais pakeitimais ir papildymais.</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Nustatyti, kad šis sprendimas įsigalioja 2018 m. kovo 1 d. </w:t>
      </w:r>
    </w:p>
    <w:p w:rsidR="00D87CF3" w:rsidRPr="00D87CF3" w:rsidRDefault="00D87CF3" w:rsidP="00D87CF3">
      <w:pPr>
        <w:spacing w:line="360" w:lineRule="auto"/>
        <w:ind w:firstLine="851"/>
        <w:jc w:val="both"/>
        <w:rPr>
          <w:rFonts w:ascii="Times New Roman" w:hAnsi="Times New Roman"/>
          <w:spacing w:val="-2"/>
          <w:sz w:val="24"/>
          <w:szCs w:val="24"/>
        </w:rPr>
      </w:pPr>
      <w:r w:rsidRPr="00D87CF3">
        <w:rPr>
          <w:rFonts w:ascii="Times New Roman" w:hAnsi="Times New Roman"/>
          <w:spacing w:val="-2"/>
          <w:sz w:val="24"/>
          <w:szCs w:val="24"/>
        </w:rPr>
        <w:t xml:space="preserve">Šis sprendimas Lietuvos Respublikos administracinių bylų teisenos įstatymo nustatyta tvarka per vieną mėnesį nuo jo gavimo dienos gali būti skundžiamas Regionų apygardos administracinio teismo Kauno rūmams (A. Mickevičiaus g. 8A, LT-44312 Kaunas). </w:t>
      </w:r>
    </w:p>
    <w:p w:rsidR="00D87CF3" w:rsidRPr="00D87CF3" w:rsidRDefault="00D87CF3" w:rsidP="00D87CF3">
      <w:pPr>
        <w:tabs>
          <w:tab w:val="left" w:pos="851"/>
          <w:tab w:val="left" w:pos="1134"/>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spacing w:line="360" w:lineRule="auto"/>
        <w:rPr>
          <w:rFonts w:ascii="Times New Roman" w:hAnsi="Times New Roman"/>
          <w:sz w:val="24"/>
          <w:szCs w:val="24"/>
          <w:lang w:eastAsia="en-US"/>
        </w:rPr>
      </w:pPr>
      <w:r w:rsidRPr="00D87CF3">
        <w:rPr>
          <w:rFonts w:ascii="Times New Roman" w:hAnsi="Times New Roman"/>
          <w:sz w:val="24"/>
          <w:szCs w:val="24"/>
          <w:lang w:eastAsia="en-US"/>
        </w:rPr>
        <w:t xml:space="preserve">Savivaldybės meras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lastRenderedPageBreak/>
        <w:t>PATVIRTINTA</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 xml:space="preserve">Kauno rajono savivaldybės tarybos </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2018 m. sausio 31 d. sprendimu Nr. TS-</w:t>
      </w:r>
      <w:r w:rsidR="00416600">
        <w:rPr>
          <w:rFonts w:ascii="Times New Roman" w:hAnsi="Times New Roman"/>
          <w:sz w:val="24"/>
          <w:szCs w:val="24"/>
          <w:lang w:eastAsia="en-US"/>
        </w:rPr>
        <w:t>6</w:t>
      </w: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MOKESČIO UŽ IKIMOKYKLINIO IR PRIEŠMOKYKLINIO AMŽIAUS VAIKŲ IŠLAIKYMĄ KAUNO RAJONO ŠVIETIMO ĮSTAIGOSE</w:t>
      </w: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 xml:space="preserve">MOKĖJIMO TVARKOS APRAŠAS </w:t>
      </w:r>
    </w:p>
    <w:p w:rsidR="00D87CF3" w:rsidRPr="00D87CF3" w:rsidRDefault="00D87CF3" w:rsidP="00D87CF3">
      <w:pPr>
        <w:ind w:right="-82"/>
        <w:jc w:val="center"/>
        <w:rPr>
          <w:rFonts w:ascii="Times New Roman" w:hAnsi="Times New Roman"/>
          <w:b/>
          <w:sz w:val="28"/>
          <w:szCs w:val="28"/>
          <w:lang w:eastAsia="en-US"/>
        </w:rPr>
      </w:pPr>
    </w:p>
    <w:p w:rsidR="00D87CF3" w:rsidRPr="00D87CF3" w:rsidRDefault="00D87CF3" w:rsidP="00D87CF3">
      <w:pPr>
        <w:autoSpaceDE w:val="0"/>
        <w:autoSpaceDN w:val="0"/>
        <w:adjustRightInd w:val="0"/>
        <w:spacing w:line="336" w:lineRule="auto"/>
        <w:jc w:val="center"/>
        <w:outlineLvl w:val="0"/>
        <w:rPr>
          <w:rFonts w:ascii="Times New Roman" w:hAnsi="Times New Roman"/>
          <w:b/>
          <w:sz w:val="24"/>
          <w:szCs w:val="24"/>
          <w:lang w:eastAsia="en-US"/>
        </w:rPr>
      </w:pPr>
      <w:r w:rsidRPr="00D87CF3">
        <w:rPr>
          <w:rFonts w:ascii="Times New Roman" w:hAnsi="Times New Roman"/>
          <w:b/>
          <w:sz w:val="24"/>
          <w:szCs w:val="24"/>
          <w:lang w:eastAsia="en-US"/>
        </w:rPr>
        <w:t>I. BENDROSIOS NUOSTATOS</w:t>
      </w:r>
    </w:p>
    <w:p w:rsidR="00D87CF3" w:rsidRPr="00D87CF3" w:rsidRDefault="00D87CF3" w:rsidP="00D87CF3">
      <w:pPr>
        <w:autoSpaceDE w:val="0"/>
        <w:autoSpaceDN w:val="0"/>
        <w:adjustRightInd w:val="0"/>
        <w:jc w:val="center"/>
        <w:rPr>
          <w:rFonts w:ascii="Times New Roman" w:hAnsi="Times New Roman"/>
          <w:sz w:val="24"/>
          <w:szCs w:val="24"/>
          <w:lang w:eastAsia="en-US"/>
        </w:rPr>
      </w:pPr>
    </w:p>
    <w:p w:rsidR="00D87CF3" w:rsidRPr="00D87CF3" w:rsidRDefault="00D87CF3" w:rsidP="00D87CF3">
      <w:pPr>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 Mokesčio už ikimokyklinio ir priešmokyklinio amžiaus vaikų išlaikymą Kauno rajono švietimo įstaigose mokėjimo tvarkos aprašas (toliau – Aprašas) reglamentuoja mokesčio už vaikų, ugdomų Kauno rajono savivaldybės švietimo įstaigose pagal ikimokyklinio ir (ar) priešmokyklinio ugdymo programas, išlaikymo dydžio nustatymą</w:t>
      </w:r>
      <w:r w:rsidRPr="00D87CF3">
        <w:rPr>
          <w:rFonts w:ascii="Times New Roman" w:hAnsi="Times New Roman"/>
          <w:b/>
          <w:sz w:val="24"/>
          <w:szCs w:val="24"/>
          <w:lang w:eastAsia="en-US"/>
        </w:rPr>
        <w:t>,</w:t>
      </w:r>
      <w:r w:rsidRPr="00D87CF3">
        <w:rPr>
          <w:rFonts w:ascii="Times New Roman" w:hAnsi="Times New Roman"/>
          <w:sz w:val="24"/>
          <w:szCs w:val="24"/>
          <w:lang w:eastAsia="en-US"/>
        </w:rPr>
        <w:t xml:space="preserve"> lengvatų taikymo ir tam būtinų dokumentų pateikimo, mokesčio mokėjimo sąlygas ir tvarką už paslaugas, kurios nėra finansuojamos iš valstybės biudžeto.</w:t>
      </w:r>
    </w:p>
    <w:p w:rsidR="00D87CF3" w:rsidRPr="00D87CF3" w:rsidRDefault="00D87CF3" w:rsidP="00D87CF3">
      <w:pPr>
        <w:widowControl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2. 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 Mokestis už vaikų, ugdomų pagal ikimokyklinio ir priešmokyklinio ugdymo programas, išlaikymą (toliau – Mokestis) susideda iš:</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3.1. mokesčio už maitinimą – išlaidos maisto produktams;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3.2. mokesčio už ugdymo sąlygų, edukacinių aplinkų gerinimą ir už priemones, skirtas vaikų pažinimo kompetencijai ugdyti.</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4. Mokestį moka tėvai (įtėviai, globėjai), kurių vaikai ugdomi pagal ikimokyklinio ir priešmokyklinio ugdymo programas.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r w:rsidRPr="00D87CF3">
        <w:rPr>
          <w:rFonts w:ascii="Times New Roman" w:hAnsi="Times New Roman"/>
          <w:b/>
          <w:sz w:val="24"/>
          <w:szCs w:val="24"/>
          <w:lang w:eastAsia="en-US"/>
        </w:rPr>
        <w:t>II. MOKESČIO DYDŽIO NUSTATYMAS</w:t>
      </w: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5. Vaikų, ugdomų pagal ikimokyklinio ir priešmokyklinio ugdymo programas, tėvai (įtėviai, globėjai) moka 100 procentų Kauno rajono savivaldybės tarybos nustatytos vaikų dienos maitinimo normos dydžio mokestį už maitinimą, už kiekvieną vaiko lankytiną (švietimo įstaigos darbo dienos) ir nelankytą nepateisintą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6.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7. Švietimo įstaigoje organizuojant pailgintos dienos grupės veiklą, gali būti organizuojamas papildomas maitinimas švietimo įstaigos nustatyta tvarka.</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8. Vaikų, ugdomų pagal ikimokyklinio ir priešmokyklinio ugdymo programas, tėvai (įtėviai, globėjai) moka 0,58 Eur mokestį už ugdymo sąlygų, edukacinių aplinkų gerinimą ir už priemones, skirtas vaikų pažinimo kompetencijai ugdyti, už kiekvieną vaiko lankytą ir nelankytą nepateisintą dieną.</w:t>
      </w:r>
    </w:p>
    <w:p w:rsidR="00D87CF3" w:rsidRPr="00D87CF3" w:rsidRDefault="00D87CF3" w:rsidP="00D87CF3">
      <w:pPr>
        <w:tabs>
          <w:tab w:val="left" w:pos="851"/>
        </w:tabs>
        <w:spacing w:line="360" w:lineRule="auto"/>
        <w:jc w:val="both"/>
        <w:rPr>
          <w:rFonts w:ascii="Times New Roman" w:hAnsi="Times New Roman"/>
          <w:b/>
          <w:sz w:val="24"/>
          <w:szCs w:val="24"/>
          <w:lang w:eastAsia="en-US"/>
        </w:rPr>
      </w:pPr>
    </w:p>
    <w:p w:rsidR="00D87CF3" w:rsidRPr="00D87CF3" w:rsidRDefault="00D87CF3" w:rsidP="00D87CF3">
      <w:pPr>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III. MOKESČIO </w:t>
      </w:r>
      <w:r w:rsidRPr="00D87CF3">
        <w:rPr>
          <w:rFonts w:ascii="Times New Roman" w:hAnsi="Times New Roman"/>
          <w:b/>
          <w:caps/>
          <w:sz w:val="24"/>
          <w:szCs w:val="24"/>
          <w:lang w:eastAsia="en-US"/>
        </w:rPr>
        <w:t xml:space="preserve">lengvatų taikymas IR </w:t>
      </w:r>
    </w:p>
    <w:p w:rsidR="00D87CF3" w:rsidRPr="00D87CF3" w:rsidRDefault="00D87CF3" w:rsidP="00D87CF3">
      <w:pPr>
        <w:jc w:val="center"/>
        <w:rPr>
          <w:rFonts w:ascii="Times New Roman" w:hAnsi="Times New Roman"/>
          <w:sz w:val="24"/>
          <w:szCs w:val="24"/>
          <w:lang w:eastAsia="en-US"/>
        </w:rPr>
      </w:pPr>
      <w:r w:rsidRPr="00D87CF3">
        <w:rPr>
          <w:rFonts w:ascii="Times New Roman" w:hAnsi="Times New Roman"/>
          <w:b/>
          <w:caps/>
          <w:sz w:val="24"/>
          <w:szCs w:val="24"/>
          <w:lang w:eastAsia="en-US"/>
        </w:rPr>
        <w:t>TAM BŪTINŲ dokumentų pateikimas</w:t>
      </w:r>
    </w:p>
    <w:p w:rsidR="00D87CF3" w:rsidRPr="00D87CF3" w:rsidRDefault="00D87CF3" w:rsidP="00D87CF3">
      <w:pPr>
        <w:spacing w:line="360" w:lineRule="auto"/>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9.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 Tėvai (įtėviai, globėjai) mokesčio nemoka, jeigu vaikas nelanko švietimo įstaigos  šiais atvejais: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10.1. dėl vaiko ligos, pateikus gydymo įstaigos pažymą;</w:t>
      </w:r>
    </w:p>
    <w:p w:rsidR="00D87CF3" w:rsidRPr="00D87CF3" w:rsidRDefault="00D87CF3" w:rsidP="00D87CF3">
      <w:pPr>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10.2. tėvų (įtėvių, globėjų) kasmetinių atostogų metu</w:t>
      </w:r>
      <w:r w:rsidRPr="00D87CF3">
        <w:rPr>
          <w:rFonts w:ascii="Times New Roman" w:hAnsi="Times New Roman"/>
          <w:b/>
          <w:sz w:val="24"/>
          <w:szCs w:val="24"/>
          <w:lang w:eastAsia="en-US"/>
        </w:rPr>
        <w:t xml:space="preserve">, </w:t>
      </w:r>
      <w:r w:rsidRPr="00D87CF3">
        <w:rPr>
          <w:rFonts w:ascii="Times New Roman" w:hAnsi="Times New Roman"/>
          <w:sz w:val="24"/>
          <w:szCs w:val="24"/>
        </w:rPr>
        <w:t xml:space="preserve">papildomomis darbdavio suteiktomis poilsio dienomis darbuotojams, auginantiems vaikus, </w:t>
      </w:r>
      <w:r w:rsidRPr="00D87CF3">
        <w:rPr>
          <w:rFonts w:ascii="Times New Roman" w:hAnsi="Times New Roman"/>
          <w:sz w:val="24"/>
          <w:szCs w:val="24"/>
          <w:lang w:eastAsia="en-US"/>
        </w:rPr>
        <w:t>pateikus prašymą ir darbovietės pažymą</w:t>
      </w:r>
      <w:r w:rsidRPr="00D87CF3">
        <w:rPr>
          <w:rFonts w:ascii="Times New Roman" w:hAnsi="Times New Roman"/>
          <w:b/>
          <w:sz w:val="24"/>
          <w:szCs w:val="24"/>
          <w:lang w:eastAsia="en-US"/>
        </w:rPr>
        <w:t>;</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10.3. švietimo įstaigos nedarbo – vasarą, vaiko vasaros atostogų metu ne trumpiau kaip vieną savaitę (birželio–rugpjūčio mėnesiais), pateikus prašymą;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10.4. motinos (įmotės, globėjos) nėštumo, gimdymo arba tėvų (įtėvių, globėjų), senelės, senelio vaiko priežiūros atostogų metu ne ilgiau kaip 3 mėnesius (nepertraukiamu laikotarpiu), pateikus prašymą, gydymo įstaigos pažymą, darbovietės pažymą apie suteiktas vaiko priežiūros atostogas;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10.5. tėvų (įtėvių, globėjų), dirbančių kintamu darbo grafiku, nemokamų atostogų ar prastovų metu, pateikus prašymą, darbovietės pažymą, darbo grafiką;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10.6. dėl ekstremalių įvykių ar esant 20º C šalčio ir žemesnei oro temperatūrai;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10.7. kai švietimo įstaiga ar grupė uždaroma dėl remonto darbų, karantino, paskelbus epidemiją;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z w:val="24"/>
          <w:szCs w:val="24"/>
          <w:lang w:eastAsia="en-US"/>
        </w:rPr>
        <w:t xml:space="preserve">10.8. kai priešmokyklinio amžiaus vaikai nelanko švietimo įstaigos mokinių atostogų </w:t>
      </w:r>
      <w:r w:rsidRPr="00D87CF3">
        <w:rPr>
          <w:rFonts w:ascii="Times New Roman" w:hAnsi="Times New Roman"/>
          <w:spacing w:val="-4"/>
          <w:sz w:val="24"/>
          <w:szCs w:val="24"/>
          <w:lang w:eastAsia="en-US"/>
        </w:rPr>
        <w:t>metu;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pacing w:val="-4"/>
          <w:sz w:val="24"/>
          <w:szCs w:val="24"/>
          <w:lang w:eastAsia="en-US"/>
        </w:rPr>
      </w:pPr>
      <w:r w:rsidRPr="00D87CF3">
        <w:rPr>
          <w:rFonts w:ascii="Times New Roman" w:hAnsi="Times New Roman"/>
          <w:spacing w:val="-4"/>
          <w:sz w:val="24"/>
          <w:szCs w:val="24"/>
          <w:lang w:eastAsia="en-US"/>
        </w:rPr>
        <w:t>10.9. nelaimės šeimoje atvejais (artimųjų mirtis ir pan.), pateikus prašymą ir nurodžius aplinkybes.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11. Tėvų (įtėvių, globėjų) prašymu mokestis už maitinimą mažinamas 50 procentų, jeigu: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11.2. vaikas auga daugiavaikėje šeimoje,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11.3. tėvams (įtėviams, globėjams), kurių vaikas yra priešmokyklinio amžiaus ir kuriam yra paskirtas nemokamas maitinimas iš valstybės biudžeto tikslinių lėšų, lengvata yra taikoma tik likusiems maitinimams (pusryčiams, vakarienei).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 xml:space="preserve">11.4. </w:t>
      </w:r>
      <w:r w:rsidRPr="00D87CF3">
        <w:rPr>
          <w:rFonts w:ascii="Times New Roman" w:hAnsi="Times New Roman"/>
          <w:spacing w:val="-4"/>
          <w:sz w:val="24"/>
          <w:szCs w:val="24"/>
          <w:shd w:val="clear" w:color="auto" w:fill="FFFFFF"/>
        </w:rPr>
        <w:t>vaikui nustatytas neįgalumas, dideli arba labai dideli specialieji ugdymosi poreikiai;</w:t>
      </w:r>
    </w:p>
    <w:p w:rsidR="00D87CF3" w:rsidRPr="00416600"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416600">
        <w:rPr>
          <w:rFonts w:ascii="Times New Roman" w:hAnsi="Times New Roman"/>
          <w:sz w:val="24"/>
          <w:szCs w:val="24"/>
          <w:lang w:eastAsia="en-US"/>
        </w:rPr>
        <w:t>11.5. vaikas auga moksleivių ar studentų šeimoje, kurioje abu tėvai mokosi mokymo įstaigos dieniniame skyriuje, pateikus pažymas apie mokslo tęsimą (pažymos pateikiamos vasario ir rugsėjo mėnesiais);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11.6. vaikams, kurių vienas iš tėvų (įtėvių, globėjų)  atlieka </w:t>
      </w:r>
      <w:r w:rsidR="00416600">
        <w:rPr>
          <w:rFonts w:ascii="Times New Roman" w:hAnsi="Times New Roman"/>
          <w:sz w:val="24"/>
          <w:szCs w:val="24"/>
          <w:lang w:eastAsia="en-US"/>
        </w:rPr>
        <w:t xml:space="preserve">privalomą </w:t>
      </w:r>
      <w:r w:rsidRPr="00D87CF3">
        <w:rPr>
          <w:rFonts w:ascii="Times New Roman" w:hAnsi="Times New Roman"/>
          <w:sz w:val="24"/>
          <w:szCs w:val="24"/>
          <w:lang w:eastAsia="en-US"/>
        </w:rPr>
        <w:t>karo tarnybą, pateikus prašymą ir pažymą.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12. Tėvams (įtėviams, globėjams) taikoma tik viena lengvata, ją tėvai (įtėviai, globėjai) turi pasirinkti ir nurodyti savo prašyme.</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13.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14. Tėvai (įtėviai, globėjai) teisės aktų nustatyta tvarka dokumentus, reikalingus mokesčio lengvatai gauti, kartu su prašymu taikyti lengvatą, pateikia priimant vaiką į grupę arba pasikeitus aplinkybėms. Jie atsako už pateikiamų dokumentų teisingumą. </w:t>
      </w:r>
    </w:p>
    <w:p w:rsidR="00D87CF3" w:rsidRPr="00D87CF3" w:rsidRDefault="00D87CF3" w:rsidP="00D87CF3">
      <w:pPr>
        <w:widowControl w:val="0"/>
        <w:spacing w:line="336" w:lineRule="auto"/>
        <w:jc w:val="center"/>
        <w:rPr>
          <w:rFonts w:ascii="Times New Roman" w:hAnsi="Times New Roman"/>
          <w:b/>
          <w:sz w:val="24"/>
          <w:szCs w:val="24"/>
          <w:lang w:eastAsia="en-US"/>
        </w:rPr>
      </w:pPr>
    </w:p>
    <w:p w:rsidR="00D87CF3" w:rsidRPr="00D87CF3" w:rsidRDefault="00D87CF3" w:rsidP="00D87CF3">
      <w:pPr>
        <w:spacing w:line="336" w:lineRule="auto"/>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IV. MOKESČIO </w:t>
      </w:r>
      <w:r w:rsidRPr="00D87CF3">
        <w:rPr>
          <w:rFonts w:ascii="Times New Roman" w:hAnsi="Times New Roman"/>
          <w:b/>
          <w:caps/>
          <w:sz w:val="24"/>
          <w:szCs w:val="24"/>
          <w:lang w:eastAsia="en-US"/>
        </w:rPr>
        <w:t>MOKĖJIMAS</w:t>
      </w:r>
    </w:p>
    <w:p w:rsidR="00D87CF3" w:rsidRPr="00D87CF3" w:rsidRDefault="00D87CF3" w:rsidP="00D87CF3">
      <w:pPr>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15. Mokestis skaičiuojamas už einamąjį mėnesį.</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16. Laiku nepateikus dokumentų, reikalingų mokesčio lengvatai gauti šio Aprašo nustatyta tvarka, mokestis skaičiuojamas bendra tvarka, o pateikus dokumentus, naujas mokestis nustatomas nuo kito mėnesio 1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17. Mokestis mokamas kiekvieną mėnesį ir turi būti sumokėtas iki einamojo mėnesio 25 (vasario ir gruodžio mėnesiais iki 20)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18.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19. Mokesčio skolos iš tėvų (įtėvių, globėjų) išieškomos Lietuvos Respublikos teisės aktų nustatyta tvarka.</w:t>
      </w:r>
    </w:p>
    <w:p w:rsidR="00D87CF3" w:rsidRPr="00D87CF3" w:rsidRDefault="00D87CF3" w:rsidP="00D87CF3">
      <w:pPr>
        <w:autoSpaceDE w:val="0"/>
        <w:autoSpaceDN w:val="0"/>
        <w:adjustRightInd w:val="0"/>
        <w:spacing w:line="360" w:lineRule="auto"/>
        <w:ind w:firstLine="851"/>
        <w:jc w:val="center"/>
        <w:rPr>
          <w:rFonts w:ascii="Times New Roman" w:hAnsi="Times New Roman"/>
          <w:sz w:val="24"/>
          <w:szCs w:val="24"/>
          <w:lang w:eastAsia="en-US"/>
        </w:rPr>
      </w:pPr>
      <w:r w:rsidRPr="00D87CF3">
        <w:rPr>
          <w:rFonts w:ascii="Times New Roman" w:hAnsi="Times New Roman"/>
          <w:sz w:val="24"/>
          <w:szCs w:val="24"/>
          <w:lang w:eastAsia="en-US"/>
        </w:rPr>
        <w:t>_____________________________________</w:t>
      </w:r>
    </w:p>
    <w:p w:rsidR="00D87CF3" w:rsidRPr="00D87CF3" w:rsidRDefault="00D87CF3" w:rsidP="00D87CF3">
      <w:pP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jc w:val="both"/>
        <w:rPr>
          <w:rFonts w:ascii="Times New Roman" w:hAnsi="Times New Roman"/>
          <w:b/>
          <w:bCs/>
          <w:sz w:val="28"/>
          <w:szCs w:val="28"/>
        </w:rPr>
      </w:pPr>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66" w:rsidRDefault="00E54866">
      <w:r>
        <w:separator/>
      </w:r>
    </w:p>
  </w:endnote>
  <w:endnote w:type="continuationSeparator" w:id="0">
    <w:p w:rsidR="00E54866" w:rsidRDefault="00E5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66" w:rsidRDefault="00E54866">
      <w:r>
        <w:separator/>
      </w:r>
    </w:p>
  </w:footnote>
  <w:footnote w:type="continuationSeparator" w:id="0">
    <w:p w:rsidR="00E54866" w:rsidRDefault="00E54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EC72D5">
      <w:rPr>
        <w:rStyle w:val="PageNumber"/>
        <w:rFonts w:ascii="Times New Roman" w:hAnsi="Times New Roman"/>
        <w:noProof/>
        <w:sz w:val="24"/>
        <w:szCs w:val="24"/>
      </w:rPr>
      <w:t>2</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D0C0C"/>
    <w:multiLevelType w:val="multilevel"/>
    <w:tmpl w:val="7D6639CE"/>
    <w:lvl w:ilvl="0">
      <w:start w:val="1"/>
      <w:numFmt w:val="decimal"/>
      <w:lvlText w:val="%1."/>
      <w:lvlJc w:val="left"/>
      <w:pPr>
        <w:ind w:left="1211" w:hanging="360"/>
      </w:pPr>
      <w:rPr>
        <w:rFonts w:ascii="Times New Roman" w:eastAsia="Calibri" w:hAnsi="Times New Roman" w:cs="Times New Roman"/>
        <w:color w:val="auto"/>
      </w:rPr>
    </w:lvl>
    <w:lvl w:ilvl="1">
      <w:start w:val="1"/>
      <w:numFmt w:val="decimal"/>
      <w:isLgl/>
      <w:lvlText w:val="%2."/>
      <w:lvlJc w:val="left"/>
      <w:pPr>
        <w:ind w:left="1571" w:hanging="720"/>
      </w:pPr>
      <w:rPr>
        <w:rFonts w:ascii="Times New Roman" w:eastAsia="Calibri" w:hAnsi="Times New Roman" w:cs="Times New Roman"/>
        <w:b/>
        <w:color w:val="auto"/>
      </w:rPr>
    </w:lvl>
    <w:lvl w:ilvl="2">
      <w:start w:val="1"/>
      <w:numFmt w:val="decimal"/>
      <w:isLgl/>
      <w:lvlText w:val="%1.%2.%3."/>
      <w:lvlJc w:val="left"/>
      <w:pPr>
        <w:ind w:left="1931" w:hanging="1080"/>
      </w:pPr>
      <w:rPr>
        <w:rFonts w:hint="default"/>
        <w:b/>
        <w:color w:val="auto"/>
      </w:rPr>
    </w:lvl>
    <w:lvl w:ilvl="3">
      <w:start w:val="1"/>
      <w:numFmt w:val="decimal"/>
      <w:isLgl/>
      <w:lvlText w:val="%1.%2.%3.%4."/>
      <w:lvlJc w:val="left"/>
      <w:pPr>
        <w:ind w:left="2291" w:hanging="1440"/>
      </w:pPr>
      <w:rPr>
        <w:rFonts w:hint="default"/>
        <w:b/>
        <w:color w:val="auto"/>
      </w:rPr>
    </w:lvl>
    <w:lvl w:ilvl="4">
      <w:start w:val="1"/>
      <w:numFmt w:val="decimal"/>
      <w:isLgl/>
      <w:lvlText w:val="%1.%2.%3.%4.%5."/>
      <w:lvlJc w:val="left"/>
      <w:pPr>
        <w:ind w:left="2651" w:hanging="1800"/>
      </w:pPr>
      <w:rPr>
        <w:rFonts w:hint="default"/>
        <w:b/>
        <w:color w:val="auto"/>
      </w:rPr>
    </w:lvl>
    <w:lvl w:ilvl="5">
      <w:start w:val="1"/>
      <w:numFmt w:val="decimal"/>
      <w:isLgl/>
      <w:lvlText w:val="%1.%2.%3.%4.%5.%6."/>
      <w:lvlJc w:val="left"/>
      <w:pPr>
        <w:ind w:left="2651" w:hanging="1800"/>
      </w:pPr>
      <w:rPr>
        <w:rFonts w:hint="default"/>
        <w:b/>
        <w:color w:val="auto"/>
      </w:rPr>
    </w:lvl>
    <w:lvl w:ilvl="6">
      <w:start w:val="1"/>
      <w:numFmt w:val="decimal"/>
      <w:isLgl/>
      <w:lvlText w:val="%1.%2.%3.%4.%5.%6.%7."/>
      <w:lvlJc w:val="left"/>
      <w:pPr>
        <w:ind w:left="3011" w:hanging="2160"/>
      </w:pPr>
      <w:rPr>
        <w:rFonts w:hint="default"/>
        <w:b/>
        <w:color w:val="auto"/>
      </w:rPr>
    </w:lvl>
    <w:lvl w:ilvl="7">
      <w:start w:val="1"/>
      <w:numFmt w:val="decimal"/>
      <w:isLgl/>
      <w:lvlText w:val="%1.%2.%3.%4.%5.%6.%7.%8."/>
      <w:lvlJc w:val="left"/>
      <w:pPr>
        <w:ind w:left="3371" w:hanging="2520"/>
      </w:pPr>
      <w:rPr>
        <w:rFonts w:hint="default"/>
        <w:b/>
        <w:color w:val="auto"/>
      </w:rPr>
    </w:lvl>
    <w:lvl w:ilvl="8">
      <w:start w:val="1"/>
      <w:numFmt w:val="decimal"/>
      <w:isLgl/>
      <w:lvlText w:val="%1.%2.%3.%4.%5.%6.%7.%8.%9."/>
      <w:lvlJc w:val="left"/>
      <w:pPr>
        <w:ind w:left="3731" w:hanging="2880"/>
      </w:pPr>
      <w:rPr>
        <w:rFonts w:hint="default"/>
        <w:b/>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37455"/>
    <w:rsid w:val="0014139B"/>
    <w:rsid w:val="001424AF"/>
    <w:rsid w:val="00142D02"/>
    <w:rsid w:val="00142F98"/>
    <w:rsid w:val="0014380B"/>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600"/>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409B"/>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269E3"/>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32D2"/>
    <w:rsid w:val="0075684C"/>
    <w:rsid w:val="00756E78"/>
    <w:rsid w:val="00756E91"/>
    <w:rsid w:val="00761BBC"/>
    <w:rsid w:val="00772240"/>
    <w:rsid w:val="00772EA4"/>
    <w:rsid w:val="0077706F"/>
    <w:rsid w:val="00781FC1"/>
    <w:rsid w:val="00784477"/>
    <w:rsid w:val="0078462C"/>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00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0FF1"/>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248AF"/>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87CF3"/>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1F4E"/>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4866"/>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2D5"/>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63B0A1-85DF-4BCF-9DCC-939DFA09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6"/>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B5169"/>
    <w:rPr>
      <w:rFonts w:ascii="TimesLT" w:hAnsi="TimesLT"/>
      <w:sz w:val="26"/>
      <w:lang w:val="lt-LT" w:eastAsia="lt-LT"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5</Pages>
  <Words>5356</Words>
  <Characters>3053</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Windows User</cp:lastModifiedBy>
  <cp:revision>2</cp:revision>
  <cp:lastPrinted>2018-02-19T07:21:00Z</cp:lastPrinted>
  <dcterms:created xsi:type="dcterms:W3CDTF">2020-03-02T14:52:00Z</dcterms:created>
  <dcterms:modified xsi:type="dcterms:W3CDTF">2020-03-02T14:52:00Z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0c929b9c-4b73-4ff8-a340-c00ea4822df5</vt:lpwstr>
  </property>
</Properties>
</file>